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F76" w:rsidRPr="003C6F76" w:rsidRDefault="003C6F76" w:rsidP="00802725">
      <w:pPr>
        <w:spacing w:line="360" w:lineRule="auto"/>
        <w:ind w:firstLine="0"/>
        <w:jc w:val="center"/>
        <w:rPr>
          <w:rFonts w:eastAsia="Times New Roman"/>
          <w:b/>
          <w:szCs w:val="24"/>
          <w:bdr w:val="none" w:sz="0" w:space="0" w:color="auto" w:frame="1"/>
          <w:shd w:val="clear" w:color="auto" w:fill="FFFFFF"/>
          <w:lang w:eastAsia="bg-BG"/>
        </w:rPr>
      </w:pPr>
      <w:r w:rsidRPr="00E163B7">
        <w:rPr>
          <w:rFonts w:eastAsia="Times New Roman"/>
          <w:b/>
          <w:szCs w:val="24"/>
          <w:bdr w:val="none" w:sz="0" w:space="0" w:color="auto" w:frame="1"/>
          <w:shd w:val="clear" w:color="auto" w:fill="FFFFFF"/>
          <w:lang w:eastAsia="bg-BG"/>
        </w:rPr>
        <w:t>МОТИВИ</w:t>
      </w:r>
    </w:p>
    <w:p w:rsidR="00E163B7" w:rsidRPr="00E163B7" w:rsidRDefault="008E5F50" w:rsidP="003C6F76">
      <w:pPr>
        <w:ind w:firstLine="0"/>
        <w:jc w:val="center"/>
        <w:rPr>
          <w:rFonts w:eastAsia="Times New Roman"/>
          <w:b/>
          <w:color w:val="000000"/>
          <w:szCs w:val="24"/>
          <w:lang w:eastAsia="bg-BG"/>
        </w:rPr>
      </w:pPr>
      <w:r>
        <w:rPr>
          <w:rFonts w:eastAsia="Times New Roman"/>
          <w:b/>
          <w:color w:val="000000"/>
          <w:szCs w:val="24"/>
          <w:lang w:eastAsia="bg-BG"/>
        </w:rPr>
        <w:t>КЪМ ПРОЕКТ</w:t>
      </w:r>
      <w:r w:rsidR="003C6F76" w:rsidRPr="00E163B7">
        <w:rPr>
          <w:rFonts w:eastAsia="Times New Roman"/>
          <w:b/>
          <w:color w:val="000000"/>
          <w:szCs w:val="24"/>
          <w:lang w:eastAsia="bg-BG"/>
        </w:rPr>
        <w:t xml:space="preserve"> НА ЗАКОН ЗА ИЗМЕНЕНИЕ И ДОПЪЛНЕНИЕ НА </w:t>
      </w:r>
      <w:r w:rsidR="003C6F76" w:rsidRPr="00E04BF4">
        <w:rPr>
          <w:rFonts w:eastAsia="Times New Roman"/>
          <w:b/>
          <w:color w:val="000000"/>
          <w:szCs w:val="24"/>
          <w:lang w:eastAsia="bg-BG"/>
        </w:rPr>
        <w:t>ЗАКОНА</w:t>
      </w:r>
      <w:r w:rsidR="003C6F76">
        <w:rPr>
          <w:rFonts w:eastAsia="Times New Roman"/>
          <w:b/>
          <w:color w:val="000000"/>
          <w:szCs w:val="24"/>
          <w:lang w:eastAsia="bg-BG"/>
        </w:rPr>
        <w:t xml:space="preserve"> </w:t>
      </w:r>
      <w:r w:rsidR="003C6F76" w:rsidRPr="00E04BF4">
        <w:rPr>
          <w:rFonts w:eastAsia="Times New Roman"/>
          <w:b/>
          <w:color w:val="000000"/>
          <w:szCs w:val="24"/>
          <w:lang w:eastAsia="bg-BG"/>
        </w:rPr>
        <w:t>ЗА ЗДРАВОСЛОВНИ И БЕЗОПАСНИ УСЛОВИЯ НА ТРУД</w:t>
      </w:r>
    </w:p>
    <w:p w:rsidR="00E163B7" w:rsidRPr="00E163B7" w:rsidRDefault="00E163B7" w:rsidP="00E163B7">
      <w:pPr>
        <w:shd w:val="clear" w:color="auto" w:fill="FFFFFF"/>
        <w:spacing w:line="75" w:lineRule="atLeast"/>
        <w:ind w:firstLine="0"/>
        <w:rPr>
          <w:rFonts w:eastAsia="Times New Roman"/>
          <w:vanish/>
          <w:szCs w:val="24"/>
          <w:lang w:eastAsia="bg-BG"/>
        </w:rPr>
      </w:pPr>
      <w:r w:rsidRPr="00E163B7">
        <w:rPr>
          <w:rFonts w:eastAsia="Times New Roman"/>
          <w:vanish/>
          <w:szCs w:val="24"/>
          <w:lang w:eastAsia="bg-BG"/>
        </w:rPr>
        <w:t> </w:t>
      </w:r>
    </w:p>
    <w:p w:rsidR="006C52B0" w:rsidRDefault="006C52B0" w:rsidP="006C52B0">
      <w:pPr>
        <w:pStyle w:val="Title"/>
        <w:spacing w:after="120"/>
        <w:jc w:val="both"/>
        <w:rPr>
          <w:b w:val="0"/>
          <w:szCs w:val="24"/>
        </w:rPr>
      </w:pPr>
      <w:bookmarkStart w:id="0" w:name="to_paragraph_id31462584"/>
      <w:bookmarkEnd w:id="0"/>
    </w:p>
    <w:p w:rsidR="00912AE0" w:rsidRDefault="00E163B7" w:rsidP="005345DB">
      <w:pPr>
        <w:jc w:val="both"/>
        <w:rPr>
          <w:szCs w:val="24"/>
        </w:rPr>
      </w:pPr>
      <w:r w:rsidRPr="003C6F76">
        <w:rPr>
          <w:szCs w:val="24"/>
        </w:rPr>
        <w:t xml:space="preserve">С проекта на </w:t>
      </w:r>
      <w:bookmarkStart w:id="1" w:name="_GoBack"/>
      <w:r w:rsidR="00E04BF4" w:rsidRPr="003C6F76">
        <w:rPr>
          <w:szCs w:val="24"/>
        </w:rPr>
        <w:t>Закон за изменение и допълнение на Закона за здравословни и безопасни условия на труд</w:t>
      </w:r>
      <w:r w:rsidR="007D3AF0">
        <w:rPr>
          <w:szCs w:val="24"/>
        </w:rPr>
        <w:t xml:space="preserve"> (ЗЗБУТ)</w:t>
      </w:r>
      <w:r w:rsidRPr="003C6F76">
        <w:rPr>
          <w:szCs w:val="24"/>
        </w:rPr>
        <w:t xml:space="preserve"> </w:t>
      </w:r>
      <w:bookmarkEnd w:id="1"/>
      <w:r w:rsidRPr="003C6F76">
        <w:rPr>
          <w:szCs w:val="24"/>
        </w:rPr>
        <w:t xml:space="preserve">се </w:t>
      </w:r>
      <w:r w:rsidR="005345DB">
        <w:rPr>
          <w:szCs w:val="24"/>
        </w:rPr>
        <w:t>правят</w:t>
      </w:r>
      <w:r w:rsidRPr="003C6F76">
        <w:rPr>
          <w:szCs w:val="24"/>
        </w:rPr>
        <w:t xml:space="preserve"> промени</w:t>
      </w:r>
      <w:r w:rsidR="00487EF9">
        <w:rPr>
          <w:szCs w:val="24"/>
        </w:rPr>
        <w:t>, с които се цели по</w:t>
      </w:r>
      <w:r w:rsidR="00A96E5F">
        <w:rPr>
          <w:szCs w:val="24"/>
        </w:rPr>
        <w:t>-</w:t>
      </w:r>
      <w:r w:rsidR="00487EF9">
        <w:rPr>
          <w:szCs w:val="24"/>
        </w:rPr>
        <w:t xml:space="preserve">добро регулиране на изискванията за осигуряване на здравословни и безопасни </w:t>
      </w:r>
      <w:r w:rsidR="00A96E5F">
        <w:rPr>
          <w:szCs w:val="24"/>
        </w:rPr>
        <w:t>условия на труд в следните направления:</w:t>
      </w:r>
    </w:p>
    <w:p w:rsidR="005345DB" w:rsidRPr="005345DB" w:rsidRDefault="005345DB" w:rsidP="005345DB">
      <w:pPr>
        <w:jc w:val="both"/>
        <w:rPr>
          <w:szCs w:val="24"/>
        </w:rPr>
      </w:pPr>
    </w:p>
    <w:p w:rsidR="006C52B0" w:rsidRDefault="005345DB" w:rsidP="00912AE0">
      <w:pPr>
        <w:pStyle w:val="Title"/>
        <w:spacing w:after="120"/>
        <w:ind w:firstLine="708"/>
        <w:jc w:val="both"/>
        <w:rPr>
          <w:b w:val="0"/>
          <w:szCs w:val="24"/>
        </w:rPr>
      </w:pPr>
      <w:r>
        <w:rPr>
          <w:szCs w:val="24"/>
          <w:lang w:val="en-US"/>
        </w:rPr>
        <w:t>1</w:t>
      </w:r>
      <w:r w:rsidR="00464906" w:rsidRPr="00464906">
        <w:rPr>
          <w:szCs w:val="24"/>
          <w:lang w:val="en-US"/>
        </w:rPr>
        <w:t>.</w:t>
      </w:r>
      <w:r w:rsidR="00464906">
        <w:rPr>
          <w:b w:val="0"/>
          <w:szCs w:val="24"/>
          <w:lang w:val="en-US"/>
        </w:rPr>
        <w:t xml:space="preserve"> </w:t>
      </w:r>
      <w:r w:rsidR="00F00EC0" w:rsidRPr="00F00EC0">
        <w:rPr>
          <w:szCs w:val="24"/>
        </w:rPr>
        <w:t xml:space="preserve">Намаляване на административната тежест чрез отмяната на задължението </w:t>
      </w:r>
      <w:r w:rsidR="00A96E5F">
        <w:rPr>
          <w:szCs w:val="24"/>
        </w:rPr>
        <w:t xml:space="preserve">на работодателя за </w:t>
      </w:r>
      <w:r w:rsidR="00F00EC0" w:rsidRPr="00F00EC0">
        <w:rPr>
          <w:szCs w:val="24"/>
        </w:rPr>
        <w:t>подаване на уведомление по чл. 15 от ЗЗБУТ</w:t>
      </w:r>
    </w:p>
    <w:p w:rsidR="00477136" w:rsidRDefault="00B8182D" w:rsidP="00477136">
      <w:pPr>
        <w:pStyle w:val="Title"/>
        <w:spacing w:after="120"/>
        <w:ind w:firstLine="708"/>
        <w:jc w:val="both"/>
        <w:rPr>
          <w:b w:val="0"/>
          <w:szCs w:val="24"/>
        </w:rPr>
      </w:pPr>
      <w:r w:rsidRPr="00DF1F5A">
        <w:rPr>
          <w:b w:val="0"/>
          <w:szCs w:val="24"/>
        </w:rPr>
        <w:t xml:space="preserve">Отменя се изискването за представяне на писмено уведомление относно липсата на промяна в обстоятелствата, подлежащи на деклариране по чл. 15 от ЗЗБУТ пред териториалната дирекция "Инспекция по труда" по адреса на регистрация на предприятието. </w:t>
      </w:r>
    </w:p>
    <w:p w:rsidR="00A96E5F" w:rsidRDefault="00B8182D" w:rsidP="00477136">
      <w:pPr>
        <w:pStyle w:val="Title"/>
        <w:spacing w:after="120"/>
        <w:ind w:firstLine="708"/>
        <w:jc w:val="both"/>
        <w:rPr>
          <w:b w:val="0"/>
          <w:szCs w:val="24"/>
        </w:rPr>
      </w:pPr>
      <w:r w:rsidRPr="00B8182D">
        <w:rPr>
          <w:b w:val="0"/>
          <w:szCs w:val="24"/>
        </w:rPr>
        <w:t>Подаването на писмени уведомления по чл. 15, ал. 3 от ЗЗБУТ създава административна тежест на юридическите и физическите лица, които са задължени ежегодно да удостоверяват липсата на промени през предходната година, относно: местонахождението; вида и характера на производствената дейност на предприятието; броя на работниците; условията на труд; рисковите фактори и мерките, които гарантират недопускането на аварии и злополуки. Уведомленията не съдържат данни, които биха могли да бъдат източник на информация при извършването на контролната дейност или при идентифицирането на обектите на контрол</w:t>
      </w:r>
      <w:r w:rsidR="00477136">
        <w:rPr>
          <w:b w:val="0"/>
          <w:szCs w:val="24"/>
        </w:rPr>
        <w:t>,</w:t>
      </w:r>
      <w:r w:rsidRPr="00B8182D">
        <w:rPr>
          <w:b w:val="0"/>
          <w:szCs w:val="24"/>
        </w:rPr>
        <w:t xml:space="preserve"> </w:t>
      </w:r>
      <w:r w:rsidR="00477136" w:rsidRPr="00477136">
        <w:rPr>
          <w:b w:val="0"/>
          <w:szCs w:val="24"/>
        </w:rPr>
        <w:t xml:space="preserve">а само потвърждават липсата на промяна по отношение на вече декларирана информация. </w:t>
      </w:r>
      <w:r w:rsidRPr="00B8182D">
        <w:rPr>
          <w:b w:val="0"/>
          <w:szCs w:val="24"/>
        </w:rPr>
        <w:t xml:space="preserve">В </w:t>
      </w:r>
      <w:r w:rsidR="00477136">
        <w:rPr>
          <w:b w:val="0"/>
          <w:szCs w:val="24"/>
        </w:rPr>
        <w:t>този смисъл,</w:t>
      </w:r>
      <w:r w:rsidRPr="00B8182D">
        <w:rPr>
          <w:b w:val="0"/>
          <w:szCs w:val="24"/>
        </w:rPr>
        <w:t xml:space="preserve"> процесът на администриране ненужно се натоварва с обработка на документи, които не се използват. Източник на информация както за нуждите на контрола, така и за анализ на състоянието на условията на труд в предприятията е годишната декларация по чл. 15, ал.1 на ЗЗБУТ, която задължените лица подават първоначално и при промяна на декларираните обстоятелства. </w:t>
      </w:r>
    </w:p>
    <w:p w:rsidR="00B8182D" w:rsidRDefault="00477136" w:rsidP="00477136">
      <w:pPr>
        <w:pStyle w:val="Title"/>
        <w:spacing w:after="120"/>
        <w:ind w:firstLine="708"/>
        <w:jc w:val="both"/>
        <w:rPr>
          <w:b w:val="0"/>
          <w:szCs w:val="24"/>
        </w:rPr>
      </w:pPr>
      <w:r w:rsidRPr="00477136">
        <w:rPr>
          <w:b w:val="0"/>
          <w:szCs w:val="24"/>
        </w:rPr>
        <w:t>Като задължение за работодателите,  подаването на уведомление е необоснована административна тежест от една страна, а от друга - ангажира ресурс на ИА ГИТ за приемането и обработката на документите, като натоварването на служителите, в т.ч. инспектори е особено интензивно към края на определения срок. Освен ангажирано време и ресурс, необходим за подаване на уведомлението, работодателите носят наказателна отговорност при неизпълнение на това задължение.</w:t>
      </w:r>
      <w:r>
        <w:rPr>
          <w:b w:val="0"/>
          <w:szCs w:val="24"/>
        </w:rPr>
        <w:t xml:space="preserve"> </w:t>
      </w:r>
    </w:p>
    <w:p w:rsidR="00F00EC0" w:rsidRPr="0083427C" w:rsidRDefault="00F00EC0" w:rsidP="00F00EC0">
      <w:pPr>
        <w:pStyle w:val="Title"/>
        <w:spacing w:after="120"/>
        <w:ind w:firstLine="708"/>
        <w:jc w:val="both"/>
        <w:rPr>
          <w:b w:val="0"/>
          <w:szCs w:val="24"/>
        </w:rPr>
      </w:pPr>
      <w:r w:rsidRPr="00F00EC0">
        <w:rPr>
          <w:b w:val="0"/>
          <w:szCs w:val="24"/>
        </w:rPr>
        <w:t xml:space="preserve">Предполага се, че </w:t>
      </w:r>
      <w:r w:rsidR="00A96E5F">
        <w:rPr>
          <w:b w:val="0"/>
          <w:szCs w:val="24"/>
        </w:rPr>
        <w:t>промяната</w:t>
      </w:r>
      <w:r w:rsidRPr="00F00EC0">
        <w:rPr>
          <w:b w:val="0"/>
          <w:szCs w:val="24"/>
        </w:rPr>
        <w:t xml:space="preserve"> ще даде отражение още през 2018 г., тъй като в срок до 30 април работодателите са длъжни да подадат уведомления, ако през 2017 г. не са настъпили промени по смисъла на закона и </w:t>
      </w:r>
      <w:r w:rsidRPr="00F00EC0">
        <w:rPr>
          <w:rFonts w:hint="eastAsia"/>
          <w:b w:val="0"/>
          <w:szCs w:val="24"/>
        </w:rPr>
        <w:t>Наредба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№</w:t>
      </w:r>
      <w:r w:rsidRPr="00F00EC0">
        <w:rPr>
          <w:b w:val="0"/>
          <w:szCs w:val="24"/>
        </w:rPr>
        <w:t xml:space="preserve"> 3 </w:t>
      </w:r>
      <w:r w:rsidRPr="00F00EC0">
        <w:rPr>
          <w:rFonts w:hint="eastAsia"/>
          <w:b w:val="0"/>
          <w:szCs w:val="24"/>
        </w:rPr>
        <w:t>от</w:t>
      </w:r>
      <w:r w:rsidRPr="00F00EC0">
        <w:rPr>
          <w:b w:val="0"/>
          <w:szCs w:val="24"/>
        </w:rPr>
        <w:t xml:space="preserve"> 2010 </w:t>
      </w:r>
      <w:r w:rsidRPr="00F00EC0">
        <w:rPr>
          <w:rFonts w:hint="eastAsia"/>
          <w:b w:val="0"/>
          <w:szCs w:val="24"/>
        </w:rPr>
        <w:t>г</w:t>
      </w:r>
      <w:r w:rsidRPr="00F00EC0">
        <w:rPr>
          <w:b w:val="0"/>
          <w:szCs w:val="24"/>
        </w:rPr>
        <w:t xml:space="preserve">. </w:t>
      </w:r>
      <w:r w:rsidRPr="00F00EC0">
        <w:rPr>
          <w:rFonts w:hint="eastAsia"/>
          <w:b w:val="0"/>
          <w:szCs w:val="24"/>
        </w:rPr>
        <w:t>за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формата</w:t>
      </w:r>
      <w:r w:rsidRPr="00F00EC0">
        <w:rPr>
          <w:b w:val="0"/>
          <w:szCs w:val="24"/>
        </w:rPr>
        <w:t xml:space="preserve">, </w:t>
      </w:r>
      <w:r w:rsidRPr="00F00EC0">
        <w:rPr>
          <w:rFonts w:hint="eastAsia"/>
          <w:b w:val="0"/>
          <w:szCs w:val="24"/>
        </w:rPr>
        <w:t>съдържанието</w:t>
      </w:r>
      <w:r w:rsidRPr="00F00EC0">
        <w:rPr>
          <w:b w:val="0"/>
          <w:szCs w:val="24"/>
        </w:rPr>
        <w:t xml:space="preserve">, </w:t>
      </w:r>
      <w:r w:rsidRPr="00F00EC0">
        <w:rPr>
          <w:rFonts w:hint="eastAsia"/>
          <w:b w:val="0"/>
          <w:szCs w:val="24"/>
        </w:rPr>
        <w:t>реда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и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начина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за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подаване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и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съхраняване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на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декларацията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по</w:t>
      </w:r>
      <w:r w:rsidRPr="00F00EC0">
        <w:rPr>
          <w:b w:val="0"/>
          <w:szCs w:val="24"/>
        </w:rPr>
        <w:t xml:space="preserve"> </w:t>
      </w:r>
      <w:r w:rsidRPr="00F00EC0">
        <w:rPr>
          <w:rFonts w:hint="eastAsia"/>
          <w:b w:val="0"/>
          <w:szCs w:val="24"/>
        </w:rPr>
        <w:t>чл</w:t>
      </w:r>
      <w:r w:rsidRPr="00F00EC0">
        <w:rPr>
          <w:b w:val="0"/>
          <w:szCs w:val="24"/>
        </w:rPr>
        <w:t xml:space="preserve">. 15, </w:t>
      </w:r>
      <w:r w:rsidRPr="00F00EC0">
        <w:rPr>
          <w:rFonts w:hint="eastAsia"/>
          <w:b w:val="0"/>
          <w:szCs w:val="24"/>
        </w:rPr>
        <w:t>ал</w:t>
      </w:r>
      <w:r w:rsidRPr="00F00EC0">
        <w:rPr>
          <w:b w:val="0"/>
          <w:szCs w:val="24"/>
        </w:rPr>
        <w:t xml:space="preserve">. 1 </w:t>
      </w:r>
      <w:r w:rsidRPr="00F00EC0">
        <w:rPr>
          <w:rFonts w:hint="eastAsia"/>
          <w:b w:val="0"/>
          <w:szCs w:val="24"/>
        </w:rPr>
        <w:t>от</w:t>
      </w:r>
      <w:r w:rsidRPr="00F00EC0">
        <w:rPr>
          <w:b w:val="0"/>
          <w:szCs w:val="24"/>
        </w:rPr>
        <w:t xml:space="preserve"> ЗЗБУТ. По данни от ИА ГИТ около 160 000 работодатели ще бъдат освободени от задължението да уведомяват инспекцията по труда за промените. </w:t>
      </w:r>
    </w:p>
    <w:p w:rsidR="006C52B0" w:rsidRDefault="005345DB" w:rsidP="00DF1F5A">
      <w:pPr>
        <w:pStyle w:val="Title"/>
        <w:spacing w:after="120"/>
        <w:ind w:firstLine="708"/>
        <w:jc w:val="both"/>
        <w:rPr>
          <w:szCs w:val="24"/>
        </w:rPr>
      </w:pPr>
      <w:r>
        <w:rPr>
          <w:szCs w:val="24"/>
        </w:rPr>
        <w:t>2</w:t>
      </w:r>
      <w:r w:rsidR="00693473" w:rsidRPr="00693473">
        <w:rPr>
          <w:szCs w:val="24"/>
        </w:rPr>
        <w:t>.</w:t>
      </w:r>
      <w:r w:rsidR="00693473">
        <w:rPr>
          <w:szCs w:val="24"/>
        </w:rPr>
        <w:t xml:space="preserve"> </w:t>
      </w:r>
      <w:r w:rsidR="00693473" w:rsidRPr="00693473">
        <w:rPr>
          <w:szCs w:val="24"/>
        </w:rPr>
        <w:t xml:space="preserve">Подобряване на качеството и контрола върху дейностите за </w:t>
      </w:r>
      <w:proofErr w:type="spellStart"/>
      <w:r w:rsidR="00693473" w:rsidRPr="00693473">
        <w:rPr>
          <w:szCs w:val="24"/>
        </w:rPr>
        <w:t>трудовомедицинско</w:t>
      </w:r>
      <w:proofErr w:type="spellEnd"/>
      <w:r w:rsidR="00693473" w:rsidRPr="00693473">
        <w:rPr>
          <w:szCs w:val="24"/>
        </w:rPr>
        <w:t xml:space="preserve"> обслужване на работниците и служителит</w:t>
      </w:r>
      <w:r w:rsidR="00D2239F">
        <w:rPr>
          <w:szCs w:val="24"/>
        </w:rPr>
        <w:t>е.</w:t>
      </w:r>
    </w:p>
    <w:p w:rsidR="00AE0A29" w:rsidRDefault="00AE0A29" w:rsidP="00AE0A29">
      <w:pPr>
        <w:tabs>
          <w:tab w:val="left" w:pos="1134"/>
        </w:tabs>
        <w:jc w:val="both"/>
      </w:pPr>
      <w:r>
        <w:lastRenderedPageBreak/>
        <w:t xml:space="preserve">С </w:t>
      </w:r>
      <w:r w:rsidR="00522D2C">
        <w:t xml:space="preserve">измененията и допълненията </w:t>
      </w:r>
      <w:r>
        <w:t xml:space="preserve">на чл. 25а, ал. 3 </w:t>
      </w:r>
      <w:r w:rsidR="00522D2C">
        <w:t xml:space="preserve">от ЗЗБУТ е предвидено </w:t>
      </w:r>
      <w:r w:rsidR="00522D2C" w:rsidRPr="007A56C2">
        <w:t xml:space="preserve">Службата по трудова медицина </w:t>
      </w:r>
      <w:r w:rsidR="00522D2C">
        <w:t xml:space="preserve">да </w:t>
      </w:r>
      <w:r w:rsidR="00522D2C" w:rsidRPr="007A56C2">
        <w:t xml:space="preserve">извършва своята дейност в съответствие с </w:t>
      </w:r>
      <w:r w:rsidR="00522D2C">
        <w:t xml:space="preserve">утвърдени стандарти и </w:t>
      </w:r>
      <w:r w:rsidR="00522D2C" w:rsidRPr="007A56C2">
        <w:t>изискванията на нормативните актове за осигуряване на здраве и безопасност при работа.</w:t>
      </w:r>
      <w:r w:rsidR="00522D2C">
        <w:t xml:space="preserve"> С</w:t>
      </w:r>
      <w:r w:rsidR="008D1D4B">
        <w:t>ъгласно новата разпоредба на чл. 25а, ал.4</w:t>
      </w:r>
      <w:r w:rsidR="00B03EC2">
        <w:t xml:space="preserve"> от ЗЗБУТ</w:t>
      </w:r>
      <w:r w:rsidR="008D1D4B">
        <w:t>, с</w:t>
      </w:r>
      <w:r w:rsidR="00522D2C" w:rsidRPr="00FE6EFA">
        <w:t>тандарти</w:t>
      </w:r>
      <w:r w:rsidR="00522D2C">
        <w:t>те</w:t>
      </w:r>
      <w:r w:rsidR="00522D2C" w:rsidRPr="00FE6EFA">
        <w:t xml:space="preserve"> за дейността на службите по трудова медицина </w:t>
      </w:r>
      <w:r w:rsidR="00522D2C">
        <w:t xml:space="preserve">се </w:t>
      </w:r>
      <w:r w:rsidR="00522D2C" w:rsidRPr="00D2239F">
        <w:t xml:space="preserve">утвърждават от министъра на здравеопазването </w:t>
      </w:r>
      <w:r w:rsidR="00D2239F" w:rsidRPr="00D2239F">
        <w:t>и</w:t>
      </w:r>
      <w:r w:rsidR="00522D2C" w:rsidRPr="00D2239F">
        <w:t xml:space="preserve"> министъра на труда и социалната политика.</w:t>
      </w:r>
    </w:p>
    <w:p w:rsidR="00D2239F" w:rsidRDefault="00B65C0C" w:rsidP="00D2239F">
      <w:pPr>
        <w:tabs>
          <w:tab w:val="left" w:pos="1134"/>
        </w:tabs>
        <w:jc w:val="both"/>
      </w:pPr>
      <w:r>
        <w:rPr>
          <w:szCs w:val="24"/>
          <w:lang w:eastAsia="bg-BG"/>
        </w:rPr>
        <w:t>ЗЗБУТ</w:t>
      </w:r>
      <w:r w:rsidRPr="00026F31">
        <w:rPr>
          <w:bCs/>
        </w:rPr>
        <w:t xml:space="preserve"> задължава всички работодатели да осигуряват обслужване на работещите от регистрирани </w:t>
      </w:r>
      <w:r w:rsidR="00455991">
        <w:rPr>
          <w:bCs/>
        </w:rPr>
        <w:t>СТМ</w:t>
      </w:r>
      <w:r w:rsidRPr="00026F31">
        <w:rPr>
          <w:bCs/>
        </w:rPr>
        <w:t>. СТМ</w:t>
      </w:r>
      <w:r w:rsidRPr="00455991">
        <w:rPr>
          <w:bCs/>
        </w:rPr>
        <w:t xml:space="preserve"> са юридически или физически лица, регистрирани по Търговския закон, по Закона за кооперациите или по Закона за юридическите лица с нестопанска цел за обслужване</w:t>
      </w:r>
      <w:r w:rsidRPr="00026F31">
        <w:rPr>
          <w:lang w:val="x-none"/>
        </w:rPr>
        <w:t xml:space="preserve"> на работещи</w:t>
      </w:r>
      <w:r>
        <w:t>. О</w:t>
      </w:r>
      <w:r w:rsidRPr="00026F31">
        <w:t>сновните дейности/услуги, които осъществяват са свързани с</w:t>
      </w:r>
      <w:r w:rsidRPr="00026F31">
        <w:rPr>
          <w:lang w:val="x-none"/>
        </w:rPr>
        <w:t xml:space="preserve"> консул</w:t>
      </w:r>
      <w:r w:rsidRPr="00026F31">
        <w:t xml:space="preserve">тации и </w:t>
      </w:r>
      <w:r w:rsidRPr="00026F31">
        <w:rPr>
          <w:lang w:val="x-none"/>
        </w:rPr>
        <w:t>пом</w:t>
      </w:r>
      <w:r w:rsidRPr="00026F31">
        <w:t xml:space="preserve">ощ на </w:t>
      </w:r>
      <w:r>
        <w:rPr>
          <w:lang w:val="x-none"/>
        </w:rPr>
        <w:t>работодателите</w:t>
      </w:r>
      <w:r w:rsidRPr="00026F31">
        <w:rPr>
          <w:lang w:val="x-none"/>
        </w:rPr>
        <w:t xml:space="preserve"> </w:t>
      </w:r>
      <w:r>
        <w:t>при</w:t>
      </w:r>
      <w:r w:rsidRPr="00026F31">
        <w:rPr>
          <w:lang w:val="x-none"/>
        </w:rPr>
        <w:t xml:space="preserve"> планирането и организирането на дейностите </w:t>
      </w:r>
      <w:r>
        <w:t>за</w:t>
      </w:r>
      <w:r w:rsidRPr="00026F31">
        <w:t>:</w:t>
      </w:r>
      <w:r>
        <w:t xml:space="preserve"> </w:t>
      </w:r>
      <w:r w:rsidRPr="00026F31">
        <w:rPr>
          <w:lang w:val="x-none"/>
        </w:rPr>
        <w:t>осигуряване и поддържане на здравословни и безопасни условия на труд;</w:t>
      </w:r>
      <w:r>
        <w:t xml:space="preserve"> </w:t>
      </w:r>
      <w:r w:rsidRPr="00026F31">
        <w:rPr>
          <w:lang w:val="x-none"/>
        </w:rPr>
        <w:t xml:space="preserve">укрепване на здравето и </w:t>
      </w:r>
      <w:r w:rsidRPr="00794779">
        <w:rPr>
          <w:lang w:val="x-none"/>
        </w:rPr>
        <w:t>работоспособността</w:t>
      </w:r>
      <w:r w:rsidRPr="00026F31">
        <w:rPr>
          <w:lang w:val="x-none"/>
        </w:rPr>
        <w:t xml:space="preserve"> на работещите във връзка с извършваната от тях работа;</w:t>
      </w:r>
      <w:r>
        <w:t xml:space="preserve"> </w:t>
      </w:r>
      <w:r w:rsidRPr="00026F31">
        <w:rPr>
          <w:lang w:val="x-none"/>
        </w:rPr>
        <w:t>приспособяване на работата към възможностите на работещия, като се отчита неговото физическо и психическо здраве</w:t>
      </w:r>
      <w:r>
        <w:t xml:space="preserve"> и </w:t>
      </w:r>
      <w:proofErr w:type="spellStart"/>
      <w:r>
        <w:t>др</w:t>
      </w:r>
      <w:proofErr w:type="spellEnd"/>
      <w:r w:rsidRPr="00026F31">
        <w:rPr>
          <w:lang w:val="x-none"/>
        </w:rPr>
        <w:t>.</w:t>
      </w:r>
      <w:r>
        <w:t xml:space="preserve"> </w:t>
      </w:r>
      <w:r w:rsidRPr="00DA1CF5">
        <w:rPr>
          <w:szCs w:val="24"/>
        </w:rPr>
        <w:t>В законодателството липсват измерими критерии и изисквания за</w:t>
      </w:r>
      <w:r>
        <w:rPr>
          <w:szCs w:val="24"/>
        </w:rPr>
        <w:t xml:space="preserve"> </w:t>
      </w:r>
      <w:r w:rsidRPr="00DA1CF5">
        <w:rPr>
          <w:szCs w:val="24"/>
        </w:rPr>
        <w:t>тяхната дейност</w:t>
      </w:r>
      <w:r>
        <w:rPr>
          <w:szCs w:val="24"/>
        </w:rPr>
        <w:t xml:space="preserve">, в т.ч. и за качество, което води до: </w:t>
      </w:r>
      <w:r w:rsidRPr="00026F31">
        <w:rPr>
          <w:lang w:val="x-none"/>
        </w:rPr>
        <w:t>смесване на дейностите по превенция на рисковете на работното място и медицинск</w:t>
      </w:r>
      <w:r>
        <w:rPr>
          <w:lang w:val="x-none"/>
        </w:rPr>
        <w:t>и дейности</w:t>
      </w:r>
      <w:r>
        <w:t>;</w:t>
      </w:r>
      <w:r>
        <w:rPr>
          <w:lang w:val="x-none"/>
        </w:rPr>
        <w:t xml:space="preserve"> формални оценки на </w:t>
      </w:r>
      <w:r w:rsidRPr="00026F31">
        <w:rPr>
          <w:lang w:val="x-none"/>
        </w:rPr>
        <w:t>професионалните рискове</w:t>
      </w:r>
      <w:r>
        <w:t xml:space="preserve">; </w:t>
      </w:r>
      <w:r w:rsidRPr="00026F31">
        <w:rPr>
          <w:lang w:val="x-none"/>
        </w:rPr>
        <w:t>формално</w:t>
      </w:r>
      <w:r w:rsidRPr="00026F31">
        <w:t xml:space="preserve"> </w:t>
      </w:r>
      <w:r w:rsidRPr="00026F31">
        <w:rPr>
          <w:lang w:val="x-none"/>
        </w:rPr>
        <w:t xml:space="preserve"> наблюдение, анализ и оценка на здравното състояние във връзка с условията на труд на всички обслужвани работещи;</w:t>
      </w:r>
      <w:r>
        <w:t xml:space="preserve"> ниско </w:t>
      </w:r>
      <w:r w:rsidRPr="00026F31">
        <w:rPr>
          <w:lang w:val="x-none"/>
        </w:rPr>
        <w:t>професионално-квалификационното равнище на специалистите от СТМ</w:t>
      </w:r>
      <w:r>
        <w:t xml:space="preserve">; </w:t>
      </w:r>
      <w:r w:rsidRPr="00026F31">
        <w:rPr>
          <w:lang w:val="x-none"/>
        </w:rPr>
        <w:t xml:space="preserve">неефективен контрол върху дейността </w:t>
      </w:r>
      <w:r>
        <w:t xml:space="preserve">им; </w:t>
      </w:r>
      <w:r w:rsidRPr="00026F31">
        <w:rPr>
          <w:lang w:val="x-none"/>
        </w:rPr>
        <w:t>слаба</w:t>
      </w:r>
      <w:r>
        <w:t xml:space="preserve"> </w:t>
      </w:r>
      <w:r w:rsidRPr="00026F31">
        <w:rPr>
          <w:lang w:val="x-none"/>
        </w:rPr>
        <w:t>мотивация от страна на работодателите за осигуряване на трудово</w:t>
      </w:r>
      <w:r w:rsidRPr="00026F31">
        <w:t>-</w:t>
      </w:r>
      <w:r w:rsidRPr="00026F31">
        <w:rPr>
          <w:lang w:val="x-none"/>
        </w:rPr>
        <w:t>медицинско обслужване на работниците и служителите</w:t>
      </w:r>
      <w:r w:rsidRPr="00026F31">
        <w:t>.</w:t>
      </w:r>
      <w:r>
        <w:t xml:space="preserve"> Все по-често се налага извода, че </w:t>
      </w:r>
      <w:r w:rsidRPr="00026F31">
        <w:rPr>
          <w:lang w:val="x-none"/>
        </w:rPr>
        <w:t>качеството на услугите, предоставяни от СТМ не отговаря на очакванията на потребителите, т.е. работодателите</w:t>
      </w:r>
      <w:r w:rsidRPr="00026F31">
        <w:t xml:space="preserve"> и работещите</w:t>
      </w:r>
      <w:r>
        <w:t xml:space="preserve">. Практиката показва, че при подобни проблеми, </w:t>
      </w:r>
      <w:r w:rsidRPr="00794779">
        <w:t>решение</w:t>
      </w:r>
      <w:r>
        <w:t xml:space="preserve"> с доказана ефективност </w:t>
      </w:r>
      <w:r w:rsidRPr="00794779">
        <w:t xml:space="preserve">е прилагането на </w:t>
      </w:r>
      <w:r w:rsidRPr="00794779">
        <w:rPr>
          <w:szCs w:val="24"/>
        </w:rPr>
        <w:t xml:space="preserve">стандарти за </w:t>
      </w:r>
      <w:r w:rsidRPr="00794779">
        <w:rPr>
          <w:lang w:val="x-none"/>
        </w:rPr>
        <w:t xml:space="preserve">качество </w:t>
      </w:r>
      <w:r>
        <w:t>н</w:t>
      </w:r>
      <w:r w:rsidRPr="00794779">
        <w:rPr>
          <w:lang w:val="x-none"/>
        </w:rPr>
        <w:t xml:space="preserve">а </w:t>
      </w:r>
      <w:r w:rsidRPr="00794779">
        <w:t>услугите</w:t>
      </w:r>
      <w:r>
        <w:t xml:space="preserve">. </w:t>
      </w:r>
      <w:r w:rsidRPr="00794779">
        <w:rPr>
          <w:szCs w:val="24"/>
        </w:rPr>
        <w:t xml:space="preserve">За </w:t>
      </w:r>
      <w:r>
        <w:rPr>
          <w:szCs w:val="24"/>
        </w:rPr>
        <w:t xml:space="preserve">да бъдат </w:t>
      </w:r>
      <w:r w:rsidRPr="00794779">
        <w:rPr>
          <w:szCs w:val="24"/>
        </w:rPr>
        <w:t>въве</w:t>
      </w:r>
      <w:r>
        <w:rPr>
          <w:szCs w:val="24"/>
        </w:rPr>
        <w:t xml:space="preserve">дени стандарти относно </w:t>
      </w:r>
      <w:r w:rsidRPr="00794779">
        <w:rPr>
          <w:szCs w:val="24"/>
        </w:rPr>
        <w:t xml:space="preserve">дейността на </w:t>
      </w:r>
      <w:r>
        <w:rPr>
          <w:szCs w:val="24"/>
        </w:rPr>
        <w:t xml:space="preserve">СТМ е необходимо </w:t>
      </w:r>
      <w:r w:rsidRPr="00794779">
        <w:rPr>
          <w:szCs w:val="24"/>
        </w:rPr>
        <w:t xml:space="preserve">да се </w:t>
      </w:r>
      <w:r>
        <w:rPr>
          <w:szCs w:val="24"/>
        </w:rPr>
        <w:t>създаде</w:t>
      </w:r>
      <w:r w:rsidRPr="00794779">
        <w:rPr>
          <w:szCs w:val="24"/>
        </w:rPr>
        <w:t xml:space="preserve"> законодателна основа</w:t>
      </w:r>
      <w:r>
        <w:rPr>
          <w:szCs w:val="24"/>
        </w:rPr>
        <w:t xml:space="preserve"> за тяхното разработване и утвърждаване.</w:t>
      </w:r>
      <w:r w:rsidR="009961B0" w:rsidRPr="009961B0">
        <w:rPr>
          <w:rFonts w:eastAsia="Times New Roman"/>
          <w:color w:val="000000"/>
          <w:szCs w:val="24"/>
          <w:lang w:eastAsia="bg-BG"/>
        </w:rPr>
        <w:t xml:space="preserve"> </w:t>
      </w:r>
      <w:r w:rsidR="00D2239F">
        <w:rPr>
          <w:rFonts w:eastAsia="Times New Roman"/>
          <w:color w:val="000000"/>
          <w:szCs w:val="24"/>
          <w:lang w:eastAsia="bg-BG"/>
        </w:rPr>
        <w:t xml:space="preserve">В тази връзка, законопроектът предвижда нови разпоредби, съгласно които </w:t>
      </w:r>
      <w:r w:rsidR="00D2239F">
        <w:t xml:space="preserve">СТМ ще </w:t>
      </w:r>
      <w:r w:rsidR="00D2239F" w:rsidRPr="007A56C2">
        <w:t xml:space="preserve">извършва своята дейност в съответствие с </w:t>
      </w:r>
      <w:r w:rsidR="00D2239F">
        <w:t xml:space="preserve">утвърдени стандарти и </w:t>
      </w:r>
      <w:r w:rsidR="00D2239F" w:rsidRPr="007A56C2">
        <w:t>изискванията на нормативните актове за осигуряване на здраве и безопасност при работа.</w:t>
      </w:r>
      <w:r w:rsidR="00D2239F">
        <w:t xml:space="preserve"> С</w:t>
      </w:r>
      <w:r w:rsidR="00D2239F" w:rsidRPr="00FE6EFA">
        <w:t>тандарти</w:t>
      </w:r>
      <w:r w:rsidR="00D2239F">
        <w:t>те</w:t>
      </w:r>
      <w:r w:rsidR="00D2239F" w:rsidRPr="00FE6EFA">
        <w:t xml:space="preserve"> за дейността на службите по трудова медицина </w:t>
      </w:r>
      <w:r w:rsidR="00D2239F">
        <w:t xml:space="preserve">ще се </w:t>
      </w:r>
      <w:r w:rsidR="00D2239F" w:rsidRPr="00D2239F">
        <w:t>утвърждават от министъра на здравеопазването и министъра на труда и социалната политика.</w:t>
      </w:r>
    </w:p>
    <w:p w:rsidR="00B65C0C" w:rsidRPr="00B009A1" w:rsidRDefault="009961B0" w:rsidP="00B65C0C">
      <w:pPr>
        <w:spacing w:before="120" w:after="120"/>
        <w:jc w:val="both"/>
        <w:rPr>
          <w:b/>
          <w:szCs w:val="24"/>
        </w:rPr>
      </w:pPr>
      <w:r>
        <w:rPr>
          <w:rFonts w:eastAsia="Times New Roman"/>
          <w:color w:val="000000"/>
          <w:szCs w:val="24"/>
          <w:lang w:eastAsia="bg-BG"/>
        </w:rPr>
        <w:t xml:space="preserve">С предлаганата </w:t>
      </w:r>
      <w:r w:rsidRPr="00B03EC2">
        <w:rPr>
          <w:szCs w:val="24"/>
        </w:rPr>
        <w:t xml:space="preserve">промяна </w:t>
      </w:r>
      <w:r w:rsidR="00AE0A29" w:rsidRPr="00B03EC2">
        <w:rPr>
          <w:szCs w:val="24"/>
        </w:rPr>
        <w:t>в</w:t>
      </w:r>
      <w:r w:rsidR="00B03EC2" w:rsidRPr="00B03EC2">
        <w:rPr>
          <w:szCs w:val="24"/>
        </w:rPr>
        <w:t xml:space="preserve"> чл. 25а, ал. 3 и 4 от ЗЗБУТ </w:t>
      </w:r>
      <w:r w:rsidRPr="00B03EC2">
        <w:rPr>
          <w:szCs w:val="24"/>
        </w:rPr>
        <w:t>ще се осигурят условия за въвеждане на измерими изисквания и критерии за качеството на услугите, които службите по трудова медицина предоставят</w:t>
      </w:r>
      <w:r>
        <w:t xml:space="preserve"> на работодателя при планирането и организирането на дейностите по осигуряване и поддържане на здравословни и безопасни условия на труд.</w:t>
      </w:r>
    </w:p>
    <w:p w:rsidR="00B80103" w:rsidRDefault="00D105EF" w:rsidP="00D105EF">
      <w:pPr>
        <w:spacing w:before="120" w:after="120"/>
        <w:jc w:val="both"/>
        <w:rPr>
          <w:szCs w:val="24"/>
        </w:rPr>
      </w:pPr>
      <w:r w:rsidRPr="00B8720C">
        <w:rPr>
          <w:szCs w:val="24"/>
        </w:rPr>
        <w:t>Действащата разпоредба на чл. 25б, ал. 1, т. 2 от ЗЗБУТ</w:t>
      </w:r>
      <w:r w:rsidR="00EF62AF">
        <w:rPr>
          <w:szCs w:val="24"/>
        </w:rPr>
        <w:t xml:space="preserve"> изисква в минималния състав на СТМ</w:t>
      </w:r>
      <w:r w:rsidRPr="00B8720C">
        <w:rPr>
          <w:szCs w:val="24"/>
        </w:rPr>
        <w:t xml:space="preserve"> да се включва лице с висше техническо образование и три години професионален опит в областта на безопасността и здравето при работа. Текстът „висше техническо образование“ създава </w:t>
      </w:r>
      <w:r w:rsidR="00D725F1">
        <w:rPr>
          <w:szCs w:val="24"/>
        </w:rPr>
        <w:t xml:space="preserve">правна несигурност </w:t>
      </w:r>
      <w:r w:rsidRPr="00B8720C">
        <w:rPr>
          <w:szCs w:val="24"/>
        </w:rPr>
        <w:t xml:space="preserve">относно професионалните направления </w:t>
      </w:r>
      <w:r w:rsidR="00D725F1">
        <w:rPr>
          <w:szCs w:val="24"/>
        </w:rPr>
        <w:t>от</w:t>
      </w:r>
      <w:r w:rsidRPr="00B8720C">
        <w:rPr>
          <w:szCs w:val="24"/>
        </w:rPr>
        <w:t xml:space="preserve"> висшето образование, които се изискват, и не съответства на законодателството в областта на висшето образование. Тъй като квалификацията и опита на лицата от минималния състав следва да се докажат със съответните документи, посочената неяснота затруднява процеса на регистрация на </w:t>
      </w:r>
      <w:r w:rsidRPr="00B8720C">
        <w:rPr>
          <w:szCs w:val="24"/>
        </w:rPr>
        <w:lastRenderedPageBreak/>
        <w:t>СТМ и води до забавяне на административно определените срокове.</w:t>
      </w:r>
      <w:r w:rsidR="00B80103" w:rsidRPr="00B80103">
        <w:rPr>
          <w:szCs w:val="24"/>
        </w:rPr>
        <w:t xml:space="preserve"> </w:t>
      </w:r>
      <w:r w:rsidR="00B80103">
        <w:rPr>
          <w:szCs w:val="24"/>
        </w:rPr>
        <w:t xml:space="preserve">Освен това, се създава риск от включване в състава на </w:t>
      </w:r>
      <w:r w:rsidR="00D725F1">
        <w:rPr>
          <w:szCs w:val="24"/>
        </w:rPr>
        <w:t>СТМ</w:t>
      </w:r>
      <w:r w:rsidR="00B80103">
        <w:rPr>
          <w:szCs w:val="24"/>
        </w:rPr>
        <w:t xml:space="preserve"> лица, които не притежават необходимите образование и квалификация. </w:t>
      </w:r>
    </w:p>
    <w:p w:rsidR="00D105EF" w:rsidRPr="00B8720C" w:rsidRDefault="00B80103" w:rsidP="00D105EF">
      <w:pPr>
        <w:spacing w:before="120" w:after="120"/>
        <w:jc w:val="both"/>
        <w:rPr>
          <w:szCs w:val="24"/>
        </w:rPr>
      </w:pPr>
      <w:r>
        <w:rPr>
          <w:szCs w:val="24"/>
          <w:lang w:eastAsia="bg-BG"/>
        </w:rPr>
        <w:t>В тази връзка, с промяната</w:t>
      </w:r>
      <w:r w:rsidR="001E6138">
        <w:rPr>
          <w:szCs w:val="24"/>
          <w:lang w:eastAsia="bg-BG"/>
        </w:rPr>
        <w:t xml:space="preserve"> на</w:t>
      </w:r>
      <w:r>
        <w:rPr>
          <w:szCs w:val="24"/>
          <w:lang w:eastAsia="bg-BG"/>
        </w:rPr>
        <w:t xml:space="preserve"> </w:t>
      </w:r>
      <w:r w:rsidR="001E6138" w:rsidRPr="00B8720C">
        <w:rPr>
          <w:szCs w:val="24"/>
        </w:rPr>
        <w:t xml:space="preserve">чл. 25б, ал. 1, т. 2 от ЗЗБУТ </w:t>
      </w:r>
      <w:r>
        <w:rPr>
          <w:szCs w:val="24"/>
          <w:lang w:eastAsia="bg-BG"/>
        </w:rPr>
        <w:t xml:space="preserve">се </w:t>
      </w:r>
      <w:r w:rsidR="001E6138">
        <w:rPr>
          <w:szCs w:val="24"/>
          <w:lang w:eastAsia="bg-BG"/>
        </w:rPr>
        <w:t xml:space="preserve">предвижда </w:t>
      </w:r>
      <w:r>
        <w:rPr>
          <w:szCs w:val="24"/>
          <w:lang w:eastAsia="bg-BG"/>
        </w:rPr>
        <w:t>прецизиране</w:t>
      </w:r>
      <w:r w:rsidRPr="0042347E">
        <w:rPr>
          <w:szCs w:val="24"/>
          <w:lang w:eastAsia="bg-BG"/>
        </w:rPr>
        <w:t xml:space="preserve"> на изискванията </w:t>
      </w:r>
      <w:r>
        <w:rPr>
          <w:szCs w:val="24"/>
          <w:lang w:eastAsia="bg-BG"/>
        </w:rPr>
        <w:t xml:space="preserve">за образование </w:t>
      </w:r>
      <w:r w:rsidRPr="0042347E">
        <w:rPr>
          <w:szCs w:val="24"/>
          <w:lang w:eastAsia="bg-BG"/>
        </w:rPr>
        <w:t>към лицето с техническо образование</w:t>
      </w:r>
      <w:r>
        <w:rPr>
          <w:szCs w:val="24"/>
          <w:lang w:eastAsia="bg-BG"/>
        </w:rPr>
        <w:t xml:space="preserve">, </w:t>
      </w:r>
      <w:r w:rsidRPr="0042347E">
        <w:rPr>
          <w:szCs w:val="24"/>
          <w:lang w:eastAsia="bg-BG"/>
        </w:rPr>
        <w:t>съгласно Класификатора на областите на висше образование и професионалните направления.</w:t>
      </w:r>
    </w:p>
    <w:p w:rsidR="008E5F50" w:rsidRDefault="005345DB" w:rsidP="00EF3EBE">
      <w:pPr>
        <w:pStyle w:val="Title"/>
        <w:spacing w:after="120"/>
        <w:ind w:firstLine="708"/>
        <w:jc w:val="both"/>
        <w:rPr>
          <w:szCs w:val="24"/>
          <w:lang w:val="en-US"/>
        </w:rPr>
      </w:pPr>
      <w:r>
        <w:rPr>
          <w:szCs w:val="24"/>
        </w:rPr>
        <w:t>3</w:t>
      </w:r>
      <w:r w:rsidR="00B03EC2" w:rsidRPr="00EF3EBE">
        <w:rPr>
          <w:szCs w:val="24"/>
        </w:rPr>
        <w:t>. Оптимизиране дейността на съветите за координация, консултации и сътрудничество при разработването и осъществяването на политиката за осигуряване на здравослов</w:t>
      </w:r>
      <w:r w:rsidR="008E5F50">
        <w:rPr>
          <w:szCs w:val="24"/>
        </w:rPr>
        <w:t>ни и безопасни условия на труд</w:t>
      </w:r>
      <w:r w:rsidR="008E5F50">
        <w:rPr>
          <w:szCs w:val="24"/>
          <w:lang w:val="en-US"/>
        </w:rPr>
        <w:t>.</w:t>
      </w:r>
    </w:p>
    <w:p w:rsidR="008E5F50" w:rsidRDefault="00EF62AF" w:rsidP="00EF3EBE">
      <w:pPr>
        <w:pStyle w:val="Title"/>
        <w:spacing w:after="120"/>
        <w:ind w:firstLine="708"/>
        <w:jc w:val="both"/>
        <w:rPr>
          <w:b w:val="0"/>
          <w:szCs w:val="24"/>
          <w:lang w:val="en-US"/>
        </w:rPr>
      </w:pPr>
      <w:r>
        <w:rPr>
          <w:b w:val="0"/>
          <w:szCs w:val="24"/>
        </w:rPr>
        <w:t xml:space="preserve">С проекта на </w:t>
      </w:r>
      <w:r w:rsidRPr="003C6F76">
        <w:rPr>
          <w:b w:val="0"/>
          <w:szCs w:val="24"/>
        </w:rPr>
        <w:t xml:space="preserve">Закон за изменение и допълнение на </w:t>
      </w:r>
      <w:r>
        <w:rPr>
          <w:b w:val="0"/>
          <w:szCs w:val="24"/>
        </w:rPr>
        <w:t xml:space="preserve">ЗЗБУТ </w:t>
      </w:r>
      <w:r w:rsidRPr="007605F2">
        <w:rPr>
          <w:b w:val="0"/>
          <w:szCs w:val="24"/>
        </w:rPr>
        <w:t>се предлага</w:t>
      </w:r>
      <w:r w:rsidR="009E4F11">
        <w:rPr>
          <w:b w:val="0"/>
          <w:szCs w:val="24"/>
        </w:rPr>
        <w:t xml:space="preserve"> </w:t>
      </w:r>
      <w:r w:rsidR="009E4F11" w:rsidRPr="009E4F11">
        <w:rPr>
          <w:b w:val="0"/>
          <w:szCs w:val="24"/>
        </w:rPr>
        <w:t xml:space="preserve">Националния съвет по условия на труд (НСУТ) да изпълнява </w:t>
      </w:r>
      <w:r w:rsidR="009E4F11">
        <w:rPr>
          <w:b w:val="0"/>
          <w:szCs w:val="24"/>
        </w:rPr>
        <w:t xml:space="preserve">функциите на </w:t>
      </w:r>
      <w:r w:rsidR="009E4F11" w:rsidRPr="009E4F11">
        <w:rPr>
          <w:b w:val="0"/>
          <w:szCs w:val="24"/>
        </w:rPr>
        <w:t>Националния съвет за инспектиране на труда (НСИТ).</w:t>
      </w:r>
      <w:r w:rsidR="009E4F11">
        <w:rPr>
          <w:b w:val="0"/>
          <w:szCs w:val="24"/>
        </w:rPr>
        <w:t xml:space="preserve"> </w:t>
      </w:r>
    </w:p>
    <w:p w:rsidR="008E5F50" w:rsidRPr="00FD27F6" w:rsidRDefault="008E5F50" w:rsidP="00FD27F6">
      <w:pPr>
        <w:pStyle w:val="Title"/>
        <w:spacing w:after="120"/>
        <w:ind w:firstLine="708"/>
        <w:jc w:val="both"/>
        <w:rPr>
          <w:b w:val="0"/>
          <w:szCs w:val="24"/>
        </w:rPr>
      </w:pPr>
      <w:r w:rsidRPr="00FD27F6">
        <w:rPr>
          <w:b w:val="0"/>
          <w:szCs w:val="24"/>
        </w:rPr>
        <w:t xml:space="preserve">Сравнителен анализ  на функциите и състава на </w:t>
      </w:r>
      <w:r w:rsidR="00FD27F6" w:rsidRPr="009E4F11">
        <w:rPr>
          <w:b w:val="0"/>
          <w:szCs w:val="24"/>
        </w:rPr>
        <w:t xml:space="preserve">Националния съвет по условия на труд (НСУТ) </w:t>
      </w:r>
      <w:r w:rsidR="00FD27F6">
        <w:rPr>
          <w:b w:val="0"/>
          <w:szCs w:val="24"/>
        </w:rPr>
        <w:t xml:space="preserve">и </w:t>
      </w:r>
      <w:r w:rsidR="00FD27F6" w:rsidRPr="009E4F11">
        <w:rPr>
          <w:b w:val="0"/>
          <w:szCs w:val="24"/>
        </w:rPr>
        <w:t xml:space="preserve">Националния съвет </w:t>
      </w:r>
      <w:r w:rsidR="00FD27F6">
        <w:rPr>
          <w:b w:val="0"/>
          <w:szCs w:val="24"/>
        </w:rPr>
        <w:t xml:space="preserve">за инспектиране на труда (НСИТ) </w:t>
      </w:r>
      <w:r w:rsidRPr="00FD27F6">
        <w:rPr>
          <w:b w:val="0"/>
          <w:szCs w:val="24"/>
        </w:rPr>
        <w:t xml:space="preserve">показва, че те са консултативни съвети (към министъра на труда и социалната политика) на национално ниво в областта на една политика - за осигуряване на здравословни и безопасни условия на труд. И двата съвета са изградени на </w:t>
      </w:r>
      <w:proofErr w:type="spellStart"/>
      <w:r w:rsidRPr="00FD27F6">
        <w:rPr>
          <w:b w:val="0"/>
          <w:szCs w:val="24"/>
        </w:rPr>
        <w:t>трипартитен</w:t>
      </w:r>
      <w:proofErr w:type="spellEnd"/>
      <w:r w:rsidRPr="00FD27F6">
        <w:rPr>
          <w:b w:val="0"/>
          <w:szCs w:val="24"/>
        </w:rPr>
        <w:t xml:space="preserve"> принцип. Като постоянен орган за осъществяване на координация, консултации и сътрудничество при разработването и осъществяването на политиката за осигуряване на здравословни и безопасни условия на труд на национално равнище, една от функциите на Националния съвет по условия на труд е да координира дейността на органите, на които е възложено упражняването на контрол в областта на условията на труд. (чл. 39, ал. 1 и чл. 40, т. 5 от ЗЗБУТ). В този смисъл, е налице дублиране на функции</w:t>
      </w:r>
      <w:r w:rsidR="008D3217" w:rsidRPr="00FD27F6">
        <w:rPr>
          <w:b w:val="0"/>
          <w:szCs w:val="24"/>
        </w:rPr>
        <w:t>, тъй като съгласно чл. 10, ал. 1 на Закона за инспектиране на труда</w:t>
      </w:r>
      <w:r w:rsidR="00FD27F6">
        <w:rPr>
          <w:b w:val="0"/>
          <w:szCs w:val="24"/>
        </w:rPr>
        <w:t>,</w:t>
      </w:r>
      <w:r w:rsidR="008D3217" w:rsidRPr="00FD27F6">
        <w:rPr>
          <w:b w:val="0"/>
          <w:szCs w:val="24"/>
        </w:rPr>
        <w:t xml:space="preserve"> НСИТ е постоянен орган за осъществяване на координация, консултации и сътрудничество при инспектирането на труда.</w:t>
      </w:r>
    </w:p>
    <w:p w:rsidR="00EF62AF" w:rsidRDefault="00FD27F6" w:rsidP="00427BAC">
      <w:pPr>
        <w:pStyle w:val="Title"/>
        <w:spacing w:after="120"/>
        <w:ind w:firstLine="708"/>
        <w:jc w:val="both"/>
        <w:rPr>
          <w:b w:val="0"/>
          <w:szCs w:val="24"/>
          <w:lang w:val="en-US"/>
        </w:rPr>
      </w:pPr>
      <w:r>
        <w:rPr>
          <w:b w:val="0"/>
          <w:szCs w:val="24"/>
        </w:rPr>
        <w:t xml:space="preserve">С оглед </w:t>
      </w:r>
      <w:r w:rsidRPr="00FD27F6">
        <w:rPr>
          <w:b w:val="0"/>
          <w:szCs w:val="24"/>
        </w:rPr>
        <w:t>оптимизиране дейността на съветите и</w:t>
      </w:r>
      <w:r>
        <w:rPr>
          <w:b w:val="0"/>
          <w:szCs w:val="24"/>
        </w:rPr>
        <w:t xml:space="preserve"> </w:t>
      </w:r>
      <w:r w:rsidRPr="00FD27F6">
        <w:rPr>
          <w:b w:val="0"/>
          <w:szCs w:val="24"/>
        </w:rPr>
        <w:t>провеждане на ефективен социален диалог на национално равнище в областта на безопасните и здравословни условия на труд</w:t>
      </w:r>
      <w:r>
        <w:rPr>
          <w:b w:val="0"/>
          <w:szCs w:val="24"/>
        </w:rPr>
        <w:t>, законопроектът предвижда</w:t>
      </w:r>
      <w:r w:rsidR="00BF1ED9">
        <w:rPr>
          <w:b w:val="0"/>
          <w:szCs w:val="24"/>
        </w:rPr>
        <w:t xml:space="preserve"> </w:t>
      </w:r>
      <w:r w:rsidR="00853A5E">
        <w:rPr>
          <w:b w:val="0"/>
          <w:szCs w:val="24"/>
        </w:rPr>
        <w:t>НСУТ</w:t>
      </w:r>
      <w:r w:rsidRPr="009E4F11">
        <w:rPr>
          <w:b w:val="0"/>
          <w:szCs w:val="24"/>
        </w:rPr>
        <w:t xml:space="preserve"> да изпълнява </w:t>
      </w:r>
      <w:r w:rsidR="00853A5E">
        <w:rPr>
          <w:b w:val="0"/>
          <w:szCs w:val="24"/>
        </w:rPr>
        <w:t xml:space="preserve">функциите на </w:t>
      </w:r>
      <w:r w:rsidRPr="009E4F11">
        <w:rPr>
          <w:b w:val="0"/>
          <w:szCs w:val="24"/>
        </w:rPr>
        <w:t>НСИТ.</w:t>
      </w:r>
      <w:r>
        <w:rPr>
          <w:b w:val="0"/>
          <w:szCs w:val="24"/>
        </w:rPr>
        <w:t xml:space="preserve"> </w:t>
      </w:r>
      <w:r w:rsidR="00853A5E">
        <w:rPr>
          <w:b w:val="0"/>
          <w:szCs w:val="24"/>
        </w:rPr>
        <w:t xml:space="preserve">В тази </w:t>
      </w:r>
      <w:r w:rsidR="001B6F95">
        <w:rPr>
          <w:b w:val="0"/>
          <w:szCs w:val="24"/>
        </w:rPr>
        <w:t xml:space="preserve">връзка се налага допълване на функциите на НСУТ и промяна в </w:t>
      </w:r>
      <w:r w:rsidR="001B6F95" w:rsidRPr="001B6F95">
        <w:rPr>
          <w:b w:val="0"/>
          <w:szCs w:val="24"/>
        </w:rPr>
        <w:t>Закона за инспектиране на труда</w:t>
      </w:r>
      <w:r w:rsidR="001B6F95">
        <w:rPr>
          <w:b w:val="0"/>
          <w:szCs w:val="24"/>
        </w:rPr>
        <w:t xml:space="preserve"> (</w:t>
      </w:r>
      <w:r w:rsidR="00427BAC">
        <w:rPr>
          <w:b w:val="0"/>
          <w:szCs w:val="24"/>
        </w:rPr>
        <w:t xml:space="preserve">§ 6 и § 7 на ЗИД на ЗЗБУТ). Промяната е в съответствие и с </w:t>
      </w:r>
      <w:r w:rsidR="00EF2006" w:rsidRPr="00427BAC">
        <w:rPr>
          <w:b w:val="0"/>
          <w:szCs w:val="24"/>
        </w:rPr>
        <w:t>препоръките от</w:t>
      </w:r>
      <w:r w:rsidR="00BA75EA">
        <w:rPr>
          <w:b w:val="0"/>
          <w:szCs w:val="24"/>
        </w:rPr>
        <w:t xml:space="preserve"> </w:t>
      </w:r>
      <w:proofErr w:type="spellStart"/>
      <w:r w:rsidR="00BA75EA">
        <w:rPr>
          <w:b w:val="0"/>
          <w:szCs w:val="24"/>
        </w:rPr>
        <w:t>Одитен</w:t>
      </w:r>
      <w:proofErr w:type="spellEnd"/>
      <w:r w:rsidR="00BA75EA">
        <w:rPr>
          <w:b w:val="0"/>
          <w:szCs w:val="24"/>
        </w:rPr>
        <w:t xml:space="preserve"> доклад за</w:t>
      </w:r>
      <w:r w:rsidR="00EF2006" w:rsidRPr="00427BAC">
        <w:rPr>
          <w:b w:val="0"/>
          <w:szCs w:val="24"/>
        </w:rPr>
        <w:t xml:space="preserve"> извършен одит на</w:t>
      </w:r>
      <w:r w:rsidR="00BA75EA">
        <w:rPr>
          <w:b w:val="0"/>
          <w:szCs w:val="24"/>
        </w:rPr>
        <w:t xml:space="preserve"> изпълнението „Контрол върху осигуряването на здравословни и безопасни условия на труд за работещите“ за периода от 01.</w:t>
      </w:r>
      <w:proofErr w:type="spellStart"/>
      <w:r w:rsidR="00BA75EA">
        <w:rPr>
          <w:b w:val="0"/>
          <w:szCs w:val="24"/>
        </w:rPr>
        <w:t>01</w:t>
      </w:r>
      <w:proofErr w:type="spellEnd"/>
      <w:r w:rsidR="00BA75EA">
        <w:rPr>
          <w:b w:val="0"/>
          <w:szCs w:val="24"/>
        </w:rPr>
        <w:t xml:space="preserve">.2013г. до 31.12.2015 г. </w:t>
      </w:r>
      <w:r w:rsidR="00EF2006" w:rsidRPr="00427BAC">
        <w:rPr>
          <w:b w:val="0"/>
          <w:szCs w:val="24"/>
        </w:rPr>
        <w:t>от Сметната палата</w:t>
      </w:r>
      <w:r w:rsidR="00EF62AF" w:rsidRPr="00427BAC">
        <w:rPr>
          <w:b w:val="0"/>
          <w:szCs w:val="24"/>
        </w:rPr>
        <w:t>.</w:t>
      </w:r>
    </w:p>
    <w:p w:rsidR="008823F4" w:rsidRDefault="008823F4" w:rsidP="00427BAC">
      <w:pPr>
        <w:pStyle w:val="Title"/>
        <w:spacing w:after="120"/>
        <w:ind w:firstLine="708"/>
        <w:jc w:val="both"/>
        <w:rPr>
          <w:b w:val="0"/>
          <w:szCs w:val="24"/>
        </w:rPr>
      </w:pPr>
      <w:r>
        <w:rPr>
          <w:b w:val="0"/>
          <w:szCs w:val="24"/>
        </w:rPr>
        <w:t xml:space="preserve">С материята, която регламентира законопроектът не се хармонизират актове на </w:t>
      </w:r>
      <w:r w:rsidR="000B0907">
        <w:rPr>
          <w:b w:val="0"/>
          <w:szCs w:val="24"/>
        </w:rPr>
        <w:t>Е</w:t>
      </w:r>
      <w:r>
        <w:rPr>
          <w:b w:val="0"/>
          <w:szCs w:val="24"/>
        </w:rPr>
        <w:t>вропейския съюз, подари което не е възможно да се анализира съответствието с европейското право.</w:t>
      </w:r>
    </w:p>
    <w:p w:rsidR="00366EA3" w:rsidRPr="00366EA3" w:rsidRDefault="00366EA3" w:rsidP="00366EA3">
      <w:pPr>
        <w:jc w:val="both"/>
        <w:rPr>
          <w:szCs w:val="24"/>
        </w:rPr>
      </w:pPr>
      <w:r>
        <w:rPr>
          <w:szCs w:val="24"/>
        </w:rPr>
        <w:t xml:space="preserve">Предложеният </w:t>
      </w:r>
      <w:r w:rsidRPr="00366EA3">
        <w:rPr>
          <w:szCs w:val="24"/>
        </w:rPr>
        <w:t>законопроект</w:t>
      </w:r>
      <w:r>
        <w:rPr>
          <w:szCs w:val="24"/>
        </w:rPr>
        <w:t xml:space="preserve"> </w:t>
      </w:r>
      <w:r>
        <w:rPr>
          <w:szCs w:val="24"/>
        </w:rPr>
        <w:t>няма да доведе до пряко и/или косвено въздействие върху държавния бюджет.</w:t>
      </w:r>
    </w:p>
    <w:p w:rsidR="00366EA3" w:rsidRPr="008823F4" w:rsidRDefault="00366EA3" w:rsidP="00427BAC">
      <w:pPr>
        <w:pStyle w:val="Title"/>
        <w:spacing w:after="120"/>
        <w:ind w:firstLine="708"/>
        <w:jc w:val="both"/>
        <w:rPr>
          <w:b w:val="0"/>
          <w:szCs w:val="24"/>
        </w:rPr>
      </w:pPr>
    </w:p>
    <w:p w:rsidR="00EF62AF" w:rsidRDefault="00EF62AF" w:rsidP="00EF3EBE">
      <w:pPr>
        <w:pStyle w:val="Title"/>
        <w:spacing w:after="120"/>
        <w:ind w:firstLine="708"/>
        <w:jc w:val="both"/>
        <w:rPr>
          <w:szCs w:val="24"/>
        </w:rPr>
      </w:pPr>
    </w:p>
    <w:p w:rsidR="00EF62AF" w:rsidRPr="00EF3EBE" w:rsidRDefault="00EF62AF" w:rsidP="00A6350B">
      <w:pPr>
        <w:pStyle w:val="ListParagraph"/>
        <w:spacing w:before="120" w:after="120"/>
        <w:ind w:firstLine="0"/>
        <w:jc w:val="both"/>
        <w:rPr>
          <w:szCs w:val="24"/>
          <w:lang w:eastAsia="bg-BG"/>
        </w:rPr>
      </w:pPr>
    </w:p>
    <w:sectPr w:rsidR="00EF62AF" w:rsidRPr="00EF3EBE" w:rsidSect="000D5821">
      <w:footerReference w:type="default" r:id="rId8"/>
      <w:pgSz w:w="11906" w:h="16838"/>
      <w:pgMar w:top="1701" w:right="1417" w:bottom="1702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281" w:rsidRDefault="00A85281" w:rsidP="007D237C">
      <w:r>
        <w:separator/>
      </w:r>
    </w:p>
  </w:endnote>
  <w:endnote w:type="continuationSeparator" w:id="0">
    <w:p w:rsidR="00A85281" w:rsidRDefault="00A85281" w:rsidP="007D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89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237C" w:rsidRDefault="007D2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6E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237C" w:rsidRDefault="007D2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281" w:rsidRDefault="00A85281" w:rsidP="007D237C">
      <w:r>
        <w:separator/>
      </w:r>
    </w:p>
  </w:footnote>
  <w:footnote w:type="continuationSeparator" w:id="0">
    <w:p w:rsidR="00A85281" w:rsidRDefault="00A85281" w:rsidP="007D2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4B98"/>
    <w:multiLevelType w:val="hybridMultilevel"/>
    <w:tmpl w:val="A9281154"/>
    <w:lvl w:ilvl="0" w:tplc="E0FEEF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86D40"/>
    <w:multiLevelType w:val="hybridMultilevel"/>
    <w:tmpl w:val="93B04358"/>
    <w:lvl w:ilvl="0" w:tplc="26DE6C00">
      <w:start w:val="3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2AF420E3"/>
    <w:multiLevelType w:val="hybridMultilevel"/>
    <w:tmpl w:val="C7989208"/>
    <w:lvl w:ilvl="0" w:tplc="EB6C249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169F9"/>
    <w:multiLevelType w:val="hybridMultilevel"/>
    <w:tmpl w:val="A334B202"/>
    <w:lvl w:ilvl="0" w:tplc="FDCAC09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13D0D73"/>
    <w:multiLevelType w:val="hybridMultilevel"/>
    <w:tmpl w:val="37DE9DCE"/>
    <w:lvl w:ilvl="0" w:tplc="E0FEEF7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F23819"/>
    <w:multiLevelType w:val="hybridMultilevel"/>
    <w:tmpl w:val="9E42C79A"/>
    <w:lvl w:ilvl="0" w:tplc="16F66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A7D53"/>
    <w:multiLevelType w:val="hybridMultilevel"/>
    <w:tmpl w:val="0F78DCFE"/>
    <w:lvl w:ilvl="0" w:tplc="76E6E90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33"/>
    <w:rsid w:val="000620FD"/>
    <w:rsid w:val="0006230A"/>
    <w:rsid w:val="0006486D"/>
    <w:rsid w:val="00076413"/>
    <w:rsid w:val="00094A1C"/>
    <w:rsid w:val="000B0907"/>
    <w:rsid w:val="000D5821"/>
    <w:rsid w:val="000E1F7C"/>
    <w:rsid w:val="00162B19"/>
    <w:rsid w:val="001B6F95"/>
    <w:rsid w:val="001C2A25"/>
    <w:rsid w:val="001E6138"/>
    <w:rsid w:val="00260EA1"/>
    <w:rsid w:val="00264B65"/>
    <w:rsid w:val="00276A20"/>
    <w:rsid w:val="00325689"/>
    <w:rsid w:val="00366EA3"/>
    <w:rsid w:val="003B1CC2"/>
    <w:rsid w:val="003C6F76"/>
    <w:rsid w:val="00412C88"/>
    <w:rsid w:val="00427BAC"/>
    <w:rsid w:val="00431C9A"/>
    <w:rsid w:val="00450A01"/>
    <w:rsid w:val="00455991"/>
    <w:rsid w:val="00464906"/>
    <w:rsid w:val="00477136"/>
    <w:rsid w:val="00487EF9"/>
    <w:rsid w:val="00490D81"/>
    <w:rsid w:val="00522D2C"/>
    <w:rsid w:val="005345DB"/>
    <w:rsid w:val="00535D50"/>
    <w:rsid w:val="00613174"/>
    <w:rsid w:val="00621FDC"/>
    <w:rsid w:val="00653852"/>
    <w:rsid w:val="00675E2F"/>
    <w:rsid w:val="00693473"/>
    <w:rsid w:val="006C52B0"/>
    <w:rsid w:val="007079A1"/>
    <w:rsid w:val="0073593D"/>
    <w:rsid w:val="007605F2"/>
    <w:rsid w:val="0079573B"/>
    <w:rsid w:val="007A0884"/>
    <w:rsid w:val="007D237C"/>
    <w:rsid w:val="007D3AF0"/>
    <w:rsid w:val="007D5CC0"/>
    <w:rsid w:val="007D7B09"/>
    <w:rsid w:val="00802725"/>
    <w:rsid w:val="00834933"/>
    <w:rsid w:val="00853A5E"/>
    <w:rsid w:val="008823F4"/>
    <w:rsid w:val="008A6C68"/>
    <w:rsid w:val="008D1D4B"/>
    <w:rsid w:val="008D3217"/>
    <w:rsid w:val="008E5F50"/>
    <w:rsid w:val="00912AE0"/>
    <w:rsid w:val="009526B7"/>
    <w:rsid w:val="00955604"/>
    <w:rsid w:val="0098308E"/>
    <w:rsid w:val="009961B0"/>
    <w:rsid w:val="009A2209"/>
    <w:rsid w:val="009D7288"/>
    <w:rsid w:val="009E4F11"/>
    <w:rsid w:val="00A03F76"/>
    <w:rsid w:val="00A05D69"/>
    <w:rsid w:val="00A11951"/>
    <w:rsid w:val="00A17EDB"/>
    <w:rsid w:val="00A52D21"/>
    <w:rsid w:val="00A6350B"/>
    <w:rsid w:val="00A85281"/>
    <w:rsid w:val="00A915F2"/>
    <w:rsid w:val="00A96E5F"/>
    <w:rsid w:val="00AA11A6"/>
    <w:rsid w:val="00AE0A29"/>
    <w:rsid w:val="00AF36F3"/>
    <w:rsid w:val="00AF7FAB"/>
    <w:rsid w:val="00B01262"/>
    <w:rsid w:val="00B03EC2"/>
    <w:rsid w:val="00B65C0C"/>
    <w:rsid w:val="00B80103"/>
    <w:rsid w:val="00B8182D"/>
    <w:rsid w:val="00BA75EA"/>
    <w:rsid w:val="00BF1ED9"/>
    <w:rsid w:val="00C34CDA"/>
    <w:rsid w:val="00C416AE"/>
    <w:rsid w:val="00C70227"/>
    <w:rsid w:val="00CA413E"/>
    <w:rsid w:val="00CE3DB2"/>
    <w:rsid w:val="00D105EF"/>
    <w:rsid w:val="00D2239F"/>
    <w:rsid w:val="00D2532D"/>
    <w:rsid w:val="00D725F1"/>
    <w:rsid w:val="00D77E57"/>
    <w:rsid w:val="00DF1F5A"/>
    <w:rsid w:val="00DF6E2A"/>
    <w:rsid w:val="00E04BF4"/>
    <w:rsid w:val="00E163B7"/>
    <w:rsid w:val="00E963EF"/>
    <w:rsid w:val="00EC6382"/>
    <w:rsid w:val="00EE280A"/>
    <w:rsid w:val="00EF1A6C"/>
    <w:rsid w:val="00EF2006"/>
    <w:rsid w:val="00EF3EBE"/>
    <w:rsid w:val="00EF62AF"/>
    <w:rsid w:val="00F00EC0"/>
    <w:rsid w:val="00F01BAA"/>
    <w:rsid w:val="00F14660"/>
    <w:rsid w:val="00FB6207"/>
    <w:rsid w:val="00FC5A5E"/>
    <w:rsid w:val="00FD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bg-BG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2532D"/>
    <w:pPr>
      <w:ind w:firstLine="0"/>
      <w:jc w:val="center"/>
    </w:pPr>
    <w:rPr>
      <w:rFonts w:eastAsia="Times New Roman"/>
      <w:b/>
      <w:lang w:eastAsia="bg-BG"/>
    </w:rPr>
  </w:style>
  <w:style w:type="character" w:customStyle="1" w:styleId="TitleChar">
    <w:name w:val="Title Char"/>
    <w:basedOn w:val="DefaultParagraphFont"/>
    <w:link w:val="Title"/>
    <w:rsid w:val="00D2532D"/>
    <w:rPr>
      <w:rFonts w:eastAsia="Times New Roman"/>
      <w:b/>
      <w:lang w:eastAsia="bg-BG"/>
    </w:rPr>
  </w:style>
  <w:style w:type="paragraph" w:styleId="ListParagraph">
    <w:name w:val="List Paragraph"/>
    <w:basedOn w:val="Normal"/>
    <w:uiPriority w:val="34"/>
    <w:qFormat/>
    <w:rsid w:val="003C6F76"/>
    <w:pPr>
      <w:ind w:left="720"/>
      <w:contextualSpacing/>
    </w:pPr>
  </w:style>
  <w:style w:type="paragraph" w:customStyle="1" w:styleId="CharCharChar1Char">
    <w:name w:val="Char Char Char1 Char"/>
    <w:basedOn w:val="Normal"/>
    <w:rsid w:val="00450A01"/>
    <w:pPr>
      <w:spacing w:after="160" w:line="240" w:lineRule="exact"/>
      <w:ind w:firstLine="0"/>
    </w:pPr>
    <w:rPr>
      <w:rFonts w:ascii="Tahoma" w:eastAsia="Times New Roman" w:hAnsi="Tahoma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23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37C"/>
  </w:style>
  <w:style w:type="paragraph" w:styleId="Footer">
    <w:name w:val="footer"/>
    <w:basedOn w:val="Normal"/>
    <w:link w:val="FooterChar"/>
    <w:uiPriority w:val="99"/>
    <w:unhideWhenUsed/>
    <w:rsid w:val="007D23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bg-BG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D2532D"/>
    <w:pPr>
      <w:ind w:firstLine="0"/>
      <w:jc w:val="center"/>
    </w:pPr>
    <w:rPr>
      <w:rFonts w:eastAsia="Times New Roman"/>
      <w:b/>
      <w:lang w:eastAsia="bg-BG"/>
    </w:rPr>
  </w:style>
  <w:style w:type="character" w:customStyle="1" w:styleId="TitleChar">
    <w:name w:val="Title Char"/>
    <w:basedOn w:val="DefaultParagraphFont"/>
    <w:link w:val="Title"/>
    <w:rsid w:val="00D2532D"/>
    <w:rPr>
      <w:rFonts w:eastAsia="Times New Roman"/>
      <w:b/>
      <w:lang w:eastAsia="bg-BG"/>
    </w:rPr>
  </w:style>
  <w:style w:type="paragraph" w:styleId="ListParagraph">
    <w:name w:val="List Paragraph"/>
    <w:basedOn w:val="Normal"/>
    <w:uiPriority w:val="34"/>
    <w:qFormat/>
    <w:rsid w:val="003C6F76"/>
    <w:pPr>
      <w:ind w:left="720"/>
      <w:contextualSpacing/>
    </w:pPr>
  </w:style>
  <w:style w:type="paragraph" w:customStyle="1" w:styleId="CharCharChar1Char">
    <w:name w:val="Char Char Char1 Char"/>
    <w:basedOn w:val="Normal"/>
    <w:rsid w:val="00450A01"/>
    <w:pPr>
      <w:spacing w:after="160" w:line="240" w:lineRule="exact"/>
      <w:ind w:firstLine="0"/>
    </w:pPr>
    <w:rPr>
      <w:rFonts w:ascii="Tahoma" w:eastAsia="Times New Roman" w:hAnsi="Tahoma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D23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37C"/>
  </w:style>
  <w:style w:type="paragraph" w:styleId="Footer">
    <w:name w:val="footer"/>
    <w:basedOn w:val="Normal"/>
    <w:link w:val="FooterChar"/>
    <w:uiPriority w:val="99"/>
    <w:unhideWhenUsed/>
    <w:rsid w:val="007D23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2899050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306000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465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51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63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2103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3760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6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123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86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76672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39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386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303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064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92216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2430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389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7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6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44418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67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54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6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0442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50931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65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74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8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964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0543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50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33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84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1254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037010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5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519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11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655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2094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216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781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955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2753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7539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8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02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3933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585864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46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4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44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Darina Konova</dc:creator>
  <cp:lastModifiedBy>Kalina Petkova</cp:lastModifiedBy>
  <cp:revision>8</cp:revision>
  <cp:lastPrinted>2017-07-28T09:33:00Z</cp:lastPrinted>
  <dcterms:created xsi:type="dcterms:W3CDTF">2017-07-07T13:02:00Z</dcterms:created>
  <dcterms:modified xsi:type="dcterms:W3CDTF">2017-07-28T10:48:00Z</dcterms:modified>
</cp:coreProperties>
</file>